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28"/>
          <w:szCs w:val="28"/>
          <w:highlight w:val="yellow"/>
        </w:rPr>
      </w:pPr>
      <w:r w:rsidDel="00000000" w:rsidR="00000000" w:rsidRPr="00000000">
        <w:rPr>
          <w:b w:val="1"/>
          <w:bCs w:val="1"/>
          <w:sz w:val="28"/>
          <w:szCs w:val="28"/>
          <w:rtl w:val="0"/>
        </w:rPr>
        <w:t xml:space="preserve">De la orden al plato, sin errores: así es como un nuevo software cambiará la forma de operar en restaurantes</w:t>
      </w:r>
      <w:r w:rsidDel="00000000" w:rsidR="00000000" w:rsidRPr="00000000">
        <w:rPr>
          <w:rtl w:val="0"/>
        </w:rPr>
      </w:r>
    </w:p>
    <w:p w:rsidR="00000000" w:rsidDel="00000000" w:rsidP="00000000" w:rsidRDefault="00000000" w:rsidRPr="00000000" w14:paraId="00000002">
      <w:pPr>
        <w:numPr>
          <w:ilvl w:val="0"/>
          <w:numId w:val="1"/>
        </w:numPr>
        <w:spacing w:after="0" w:afterAutospacing="0" w:before="240" w:lineRule="auto"/>
        <w:ind w:left="720" w:hanging="360"/>
        <w:jc w:val="center"/>
        <w:rPr>
          <w:i w:val="1"/>
          <w:iCs w:val="1"/>
          <w:sz w:val="18"/>
          <w:szCs w:val="18"/>
        </w:rPr>
      </w:pPr>
      <w:r w:rsidDel="00000000" w:rsidR="00000000" w:rsidRPr="00000000">
        <w:rPr>
          <w:i w:val="1"/>
          <w:iCs w:val="1"/>
          <w:sz w:val="18"/>
          <w:szCs w:val="18"/>
          <w:rtl w:val="0"/>
        </w:rPr>
        <w:t xml:space="preserve">La feria reunirá en un solo espacio las principales tendencias operativas para las industrias de alimentos, retail y el sector HORECA.</w:t>
      </w:r>
    </w:p>
    <w:p w:rsidR="00000000" w:rsidDel="00000000" w:rsidP="00000000" w:rsidRDefault="00000000" w:rsidRPr="00000000" w14:paraId="00000003">
      <w:pPr>
        <w:numPr>
          <w:ilvl w:val="0"/>
          <w:numId w:val="1"/>
        </w:numPr>
        <w:spacing w:after="0" w:afterAutospacing="0" w:before="0" w:beforeAutospacing="0" w:lineRule="auto"/>
        <w:ind w:left="720" w:hanging="360"/>
        <w:jc w:val="center"/>
        <w:rPr>
          <w:i w:val="1"/>
          <w:iCs w:val="1"/>
          <w:sz w:val="18"/>
          <w:szCs w:val="18"/>
        </w:rPr>
      </w:pPr>
      <w:r w:rsidDel="00000000" w:rsidR="00000000" w:rsidRPr="00000000">
        <w:rPr>
          <w:i w:val="1"/>
          <w:iCs w:val="1"/>
          <w:sz w:val="18"/>
          <w:szCs w:val="18"/>
          <w:rtl w:val="0"/>
        </w:rPr>
        <w:t xml:space="preserve">Durante su puesta en escena, Epson presentará un portafolio para retail y hospitalidad con el software especializado </w:t>
      </w:r>
      <w:r w:rsidDel="00000000" w:rsidR="00000000" w:rsidRPr="00000000">
        <w:rPr>
          <w:b w:val="1"/>
          <w:bCs w:val="1"/>
          <w:i w:val="1"/>
          <w:iCs w:val="1"/>
          <w:sz w:val="18"/>
          <w:szCs w:val="18"/>
          <w:rtl w:val="0"/>
        </w:rPr>
        <w:t xml:space="preserve">TrueOrder</w:t>
      </w:r>
      <w:r w:rsidDel="00000000" w:rsidR="00000000" w:rsidRPr="00000000">
        <w:rPr>
          <w:i w:val="1"/>
          <w:iCs w:val="1"/>
          <w:sz w:val="18"/>
          <w:szCs w:val="18"/>
          <w:rtl w:val="0"/>
        </w:rPr>
        <w:t xml:space="preserve">, y nuevas soluciones de impresión y etiquetado como la TM-T20IV y la CW-D3800e.</w:t>
      </w:r>
    </w:p>
    <w:p w:rsidR="00000000" w:rsidDel="00000000" w:rsidP="00000000" w:rsidRDefault="00000000" w:rsidRPr="00000000" w14:paraId="00000004">
      <w:pPr>
        <w:numPr>
          <w:ilvl w:val="0"/>
          <w:numId w:val="1"/>
        </w:numPr>
        <w:spacing w:after="240" w:before="0" w:beforeAutospacing="0" w:lineRule="auto"/>
        <w:ind w:left="720" w:hanging="360"/>
        <w:jc w:val="center"/>
        <w:rPr>
          <w:i w:val="1"/>
          <w:iCs w:val="1"/>
          <w:sz w:val="18"/>
          <w:szCs w:val="18"/>
        </w:rPr>
      </w:pPr>
      <w:r w:rsidDel="00000000" w:rsidR="00000000" w:rsidRPr="00000000">
        <w:rPr>
          <w:i w:val="1"/>
          <w:iCs w:val="1"/>
          <w:sz w:val="18"/>
          <w:szCs w:val="18"/>
          <w:rtl w:val="0"/>
        </w:rPr>
        <w:t xml:space="preserve">Los equipos exhibidos no solo reducen tiempos de entrega, sino que permiten un ahorro de hasta un 49% en papel gracias a la tecnología patentada de la marca.</w:t>
      </w:r>
    </w:p>
    <w:p w:rsidR="00000000" w:rsidDel="00000000" w:rsidP="00000000" w:rsidRDefault="00000000" w:rsidRPr="00000000" w14:paraId="00000005">
      <w:pPr>
        <w:spacing w:after="240" w:before="240" w:lineRule="auto"/>
        <w:ind w:left="0" w:firstLine="0"/>
        <w:jc w:val="both"/>
        <w:rPr/>
      </w:pPr>
      <w:r w:rsidDel="00000000" w:rsidR="00000000" w:rsidRPr="00000000">
        <w:rPr>
          <w:b w:val="1"/>
          <w:bCs w:val="1"/>
          <w:rtl w:val="0"/>
        </w:rPr>
        <w:t xml:space="preserve">Colombia, junio de 2026</w:t>
      </w:r>
      <w:r w:rsidDel="00000000" w:rsidR="00000000" w:rsidRPr="00000000">
        <w:rPr>
          <w:rtl w:val="0"/>
        </w:rPr>
        <w:t xml:space="preserve">. Alimentec 2026 celebra una nueva edición y se consolida una vez más como el epicentro de la innovación para las industrias de alimentos, bebidas, retail y el sector de hoteles, restaurantes y casinos (HORECA) en la región andina. El evento, que congrega a cientos de expositores internacionales en Bogotá, se convierte en el escenario propicio para el intercambio comercial y el lanzamiento de tendencias operativas de vanguardia.</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Es por lo anterior que, Epson, líder mundial en tecnología de impresión, soluciones de etiquetado y punto de venta, participará de este encuentro con un portafolio renovado diseñado para responder a las exigencias del mercado. En el evento, que se llevará a cabo del </w:t>
      </w:r>
      <w:r w:rsidDel="00000000" w:rsidR="00000000" w:rsidRPr="00000000">
        <w:rPr>
          <w:b w:val="1"/>
          <w:bCs w:val="1"/>
          <w:rtl w:val="0"/>
        </w:rPr>
        <w:t xml:space="preserve">9 al 12 de junio de 2026 en Corferias</w:t>
      </w:r>
      <w:r w:rsidDel="00000000" w:rsidR="00000000" w:rsidRPr="00000000">
        <w:rPr>
          <w:rtl w:val="0"/>
        </w:rPr>
        <w:t xml:space="preserve">, los visitantes podrán vivir un recorrido interactivo que simula todo el proceso, desde el pedido en un quiosco de autoservicio, hasta la entrega final del producto. Con esta propuesta, la marca busca brindar confiabilidad y calidad técnica para que los empresarios locales puedan enfocarse en expandir sus operaciones.</w:t>
      </w:r>
      <w:r w:rsidDel="00000000" w:rsidR="00000000" w:rsidRPr="00000000">
        <w:rPr>
          <w:rtl w:val="0"/>
        </w:rPr>
      </w:r>
    </w:p>
    <w:p w:rsidR="00000000" w:rsidDel="00000000" w:rsidP="00000000" w:rsidRDefault="00000000" w:rsidRPr="00000000" w14:paraId="00000007">
      <w:pPr>
        <w:spacing w:after="240" w:before="240" w:lineRule="auto"/>
        <w:jc w:val="both"/>
        <w:rPr>
          <w:b w:val="1"/>
          <w:bCs w:val="1"/>
        </w:rPr>
      </w:pPr>
      <w:r w:rsidDel="00000000" w:rsidR="00000000" w:rsidRPr="00000000">
        <w:rPr>
          <w:b w:val="1"/>
          <w:bCs w:val="1"/>
          <w:rtl w:val="0"/>
        </w:rPr>
        <w:t xml:space="preserve">Soluciones para una cocina más conectada y eficiente</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i w:val="1"/>
          <w:iCs w:val="1"/>
          <w:rtl w:val="0"/>
        </w:rPr>
        <w:t xml:space="preserve">“Ante los actuales desafíos en la industria, interiorizamos que la automatización del proceso interno de las cocinas mediante software especializado permite disminuir drásticamente los costos ocultos por desperdicio de insumos y papel. Al digitalizar lo que antes era un trabajo netamente manual, aceleramos los tiempos de preparación y garantizamos que el pedido salga exactamente como lo exige el comensal, optimizando la experiencia del cliente y la rentabilidad del negocio”</w:t>
      </w:r>
      <w:r w:rsidDel="00000000" w:rsidR="00000000" w:rsidRPr="00000000">
        <w:rPr>
          <w:rtl w:val="0"/>
        </w:rPr>
        <w:t xml:space="preserve">, destaca Camilo Garzón, product manager de Epson Colombia.</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Esta apuesta tecnológica cobra relevancia ante el panorama económico que enfrenta el sector gastronómico en el país. Según el estudio: </w:t>
      </w:r>
      <w:hyperlink r:id="rId6">
        <w:r w:rsidDel="00000000" w:rsidR="00000000" w:rsidRPr="00000000">
          <w:rPr>
            <w:i w:val="1"/>
            <w:iCs w:val="1"/>
            <w:color w:val="1155cc"/>
            <w:u w:val="single"/>
            <w:rtl w:val="0"/>
          </w:rPr>
          <w:t xml:space="preserve">Mercado de Restaurantes de Servicio Rápido en Colombia</w:t>
        </w:r>
      </w:hyperlink>
      <w:r w:rsidDel="00000000" w:rsidR="00000000" w:rsidRPr="00000000">
        <w:rPr>
          <w:rtl w:val="0"/>
        </w:rPr>
        <w:t xml:space="preserve"> de Informes de Expertos, este segmento alcanzó una </w:t>
      </w:r>
      <w:r w:rsidDel="00000000" w:rsidR="00000000" w:rsidRPr="00000000">
        <w:rPr>
          <w:b w:val="1"/>
          <w:bCs w:val="1"/>
          <w:rtl w:val="0"/>
        </w:rPr>
        <w:t xml:space="preserve">valoración de 2.370 millones de dólares en 2025</w:t>
      </w:r>
      <w:r w:rsidDel="00000000" w:rsidR="00000000" w:rsidRPr="00000000">
        <w:rPr>
          <w:rtl w:val="0"/>
        </w:rPr>
        <w:t xml:space="preserve">. Sin embargo, el </w:t>
      </w:r>
      <w:hyperlink r:id="rId7">
        <w:r w:rsidDel="00000000" w:rsidR="00000000" w:rsidRPr="00000000">
          <w:rPr>
            <w:i w:val="1"/>
            <w:iCs w:val="1"/>
            <w:color w:val="1155cc"/>
            <w:u w:val="single"/>
            <w:rtl w:val="0"/>
          </w:rPr>
          <w:t xml:space="preserve">Índice de Precios al Consumidor</w:t>
        </w:r>
      </w:hyperlink>
      <w:r w:rsidDel="00000000" w:rsidR="00000000" w:rsidRPr="00000000">
        <w:rPr>
          <w:rtl w:val="0"/>
        </w:rPr>
        <w:t xml:space="preserve"> publicado por el DANE revela que la división de restaurantes y hoteles lideró la inflación a inicios de 2026 con un alza del </w:t>
      </w:r>
      <w:r w:rsidDel="00000000" w:rsidR="00000000" w:rsidRPr="00000000">
        <w:rPr>
          <w:b w:val="1"/>
          <w:bCs w:val="1"/>
          <w:rtl w:val="0"/>
        </w:rPr>
        <w:t xml:space="preserve">9,01%</w:t>
      </w:r>
      <w:r w:rsidDel="00000000" w:rsidR="00000000" w:rsidRPr="00000000">
        <w:rPr>
          <w:rtl w:val="0"/>
        </w:rPr>
        <w:t xml:space="preserve">, obligando a los negocios a optimizar costos de manera urgente.</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En respuesta a estos desafíos de rentabilidad, el lanzamiento principal de la marca en el evento es </w:t>
      </w:r>
      <w:r w:rsidDel="00000000" w:rsidR="00000000" w:rsidRPr="00000000">
        <w:rPr>
          <w:b w:val="1"/>
          <w:bCs w:val="1"/>
          <w:rtl w:val="0"/>
        </w:rPr>
        <w:t xml:space="preserve">TrueOrder</w:t>
      </w:r>
      <w:r w:rsidDel="00000000" w:rsidR="00000000" w:rsidRPr="00000000">
        <w:rPr>
          <w:rtl w:val="0"/>
        </w:rPr>
        <w:t xml:space="preserve">, un software especializado en la gestión de cocinas. Esta herramienta digital funciona como un Sistema de Exhibición de Cocina (KDS, por sus siglas en inglés) que automatiza todo el proceso interno de preparación de pedidos, el cual tradicionalmente se ejecutaba de forma manual mediante tiquetes de papel en los establecimientos locales. </w:t>
      </w:r>
      <w:r w:rsidDel="00000000" w:rsidR="00000000" w:rsidRPr="00000000">
        <w:rPr>
          <w:i w:val="1"/>
          <w:iCs w:val="1"/>
          <w:rtl w:val="0"/>
        </w:rPr>
        <w:t xml:space="preserve">“Con esta propuesta, evolucionamos más allá de una solución de impresión a brindar un ecosistema integral que incorpora software especializado para la gestión de cocinas</w:t>
      </w:r>
      <w:r w:rsidDel="00000000" w:rsidR="00000000" w:rsidRPr="00000000">
        <w:rPr>
          <w:rtl w:val="0"/>
        </w:rPr>
        <w:t xml:space="preserve">”, señala Garzón.</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Este software opera centralizando los pedidos que ingresan desde diferentes canales, como puntos de venta físicos, quioscos de autoservicio y plataformas de entrega a domicilio, para organizarlos en pantallas digitales por orden de llegada o tiempo de cocción en lugar de hacerlo mediante facturas impresas. La nueva plataforma sobresale por su alta adaptabilidad a los sistemas de comunicación y comandas que ya operan las distintas compañías gastronómicas colombianas, permitiendo a los cocineros interactuar directamente con las órdenes para marcar su estado en tiempo real.</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Además de optimizar los tiempos de entrega, esta innovación tecnológica tiene un impacto directo en las políticas de sostenibilidad de la industria. Al digitalizar los pedidos y proyectarlos en pantallas, el sistema reduce significativamente la necesidad de imprimir recibos físicos en las zonas de preparación. </w:t>
      </w:r>
    </w:p>
    <w:p w:rsidR="00000000" w:rsidDel="00000000" w:rsidP="00000000" w:rsidRDefault="00000000" w:rsidRPr="00000000" w14:paraId="0000000D">
      <w:pPr>
        <w:spacing w:after="240" w:before="240" w:lineRule="auto"/>
        <w:jc w:val="both"/>
        <w:rPr>
          <w:b w:val="1"/>
          <w:bCs w:val="1"/>
        </w:rPr>
      </w:pPr>
      <w:r w:rsidDel="00000000" w:rsidR="00000000" w:rsidRPr="00000000">
        <w:rPr>
          <w:b w:val="1"/>
          <w:bCs w:val="1"/>
          <w:rtl w:val="0"/>
        </w:rPr>
        <w:t xml:space="preserve">Un escenario para las </w:t>
      </w:r>
      <w:r w:rsidDel="00000000" w:rsidR="00000000" w:rsidRPr="00000000">
        <w:rPr>
          <w:b w:val="1"/>
          <w:bCs w:val="1"/>
          <w:rtl w:val="0"/>
        </w:rPr>
        <w:t xml:space="preserve">novedades tecnológicas de Epson </w:t>
      </w: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t xml:space="preserve">En el marco del evento, también se presentará por primera vez al público la nueva impresora para punto de venta </w:t>
      </w:r>
      <w:r w:rsidDel="00000000" w:rsidR="00000000" w:rsidRPr="00000000">
        <w:rPr>
          <w:b w:val="1"/>
          <w:bCs w:val="1"/>
          <w:rtl w:val="0"/>
        </w:rPr>
        <w:t xml:space="preserve">TM-T20IV</w:t>
      </w:r>
      <w:r w:rsidDel="00000000" w:rsidR="00000000" w:rsidRPr="00000000">
        <w:rPr>
          <w:rtl w:val="0"/>
        </w:rPr>
        <w:t xml:space="preserve">, una renovación de la referencia más vendida en el mercado nacional. Este equipo destaca por su versatilidad de conectividad al permitir múltiples interfaces cableadas e inalámbricas de manera opcional, incrementando su velocidad para responder con agilidad al dinamismo actual del sector. Dentro de los equipos exhibidos de categoría de soluciones se suman la </w:t>
      </w:r>
      <w:r w:rsidDel="00000000" w:rsidR="00000000" w:rsidRPr="00000000">
        <w:rPr>
          <w:b w:val="1"/>
          <w:bCs w:val="1"/>
          <w:rtl w:val="0"/>
        </w:rPr>
        <w:t xml:space="preserve">TM-L100</w:t>
      </w:r>
      <w:r w:rsidDel="00000000" w:rsidR="00000000" w:rsidRPr="00000000">
        <w:rPr>
          <w:rtl w:val="0"/>
        </w:rPr>
        <w:t xml:space="preserve">, </w:t>
      </w:r>
      <w:r w:rsidDel="00000000" w:rsidR="00000000" w:rsidRPr="00000000">
        <w:rPr>
          <w:b w:val="1"/>
          <w:bCs w:val="1"/>
          <w:rtl w:val="0"/>
        </w:rPr>
        <w:t xml:space="preserve">TM-m30</w:t>
      </w:r>
      <w:r w:rsidDel="00000000" w:rsidR="00000000" w:rsidRPr="00000000">
        <w:rPr>
          <w:rtl w:val="0"/>
        </w:rPr>
        <w:t xml:space="preserve"> y </w:t>
      </w:r>
      <w:r w:rsidDel="00000000" w:rsidR="00000000" w:rsidRPr="00000000">
        <w:rPr>
          <w:b w:val="1"/>
          <w:bCs w:val="1"/>
          <w:rtl w:val="0"/>
        </w:rPr>
        <w:t xml:space="preserve">TM-m50</w:t>
      </w:r>
      <w:r w:rsidDel="00000000" w:rsidR="00000000" w:rsidRPr="00000000">
        <w:rPr>
          <w:rtl w:val="0"/>
        </w:rPr>
        <w:t xml:space="preserve">, las cuales incorporan certificaciones de resistencia especialmente diseñadas para soportar las altas temperaturas, grasas y salpicaduras comunes en los entornos de cocina.</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Por su parte, la línea </w:t>
      </w:r>
      <w:r w:rsidDel="00000000" w:rsidR="00000000" w:rsidRPr="00000000">
        <w:rPr>
          <w:b w:val="1"/>
          <w:bCs w:val="1"/>
          <w:rtl w:val="0"/>
        </w:rPr>
        <w:t xml:space="preserve">ColorWorks</w:t>
      </w:r>
      <w:r w:rsidDel="00000000" w:rsidR="00000000" w:rsidRPr="00000000">
        <w:rPr>
          <w:rtl w:val="0"/>
        </w:rPr>
        <w:t xml:space="preserve"> complementa la muestra comercial con sistemas de etiquetado a color bajo demanda para empaques personalizados, ideales para que las empresas se adapten rápidamente a normativas legales de sellos nutricionales sin perder su identidad visual de marca. Como gran novedad de este portafolio, se introduce el lanzamiento de la </w:t>
      </w:r>
      <w:r w:rsidDel="00000000" w:rsidR="00000000" w:rsidRPr="00000000">
        <w:rPr>
          <w:b w:val="1"/>
          <w:bCs w:val="1"/>
          <w:rtl w:val="0"/>
        </w:rPr>
        <w:t xml:space="preserve">CW-D3800e</w:t>
      </w:r>
      <w:r w:rsidDel="00000000" w:rsidR="00000000" w:rsidRPr="00000000">
        <w:rPr>
          <w:rtl w:val="0"/>
        </w:rPr>
        <w:t xml:space="preserve">, un modelo de escritorio compacto diseñado para tiradas cortas que destaca por su tecnología de tinta a base de colorante (dye-based) para obtener tonos vibrantes, una configuración simplificada con acceso totalmente frontal y funciones de automantenimiento de cabezal.</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Con este portafolio, Epson reafirma su apuesta por soluciones eficientes, confiables y de larga vida útil, destacadas por su </w:t>
      </w:r>
      <w:r w:rsidDel="00000000" w:rsidR="00000000" w:rsidRPr="00000000">
        <w:rPr>
          <w:b w:val="1"/>
          <w:bCs w:val="1"/>
          <w:rtl w:val="0"/>
        </w:rPr>
        <w:t xml:space="preserve">capacidad de ahorro de papel de hasta un 49%</w:t>
      </w:r>
      <w:r w:rsidDel="00000000" w:rsidR="00000000" w:rsidRPr="00000000">
        <w:rPr>
          <w:rtl w:val="0"/>
        </w:rPr>
        <w:t xml:space="preserve">, su bajo índice de fallas y su mantenimiento simplificado. De esta manera, la compañía busca acompañar a los negocios del sector gastronómico y retail en su proceso de modernización y crecimiento operativo.</w:t>
      </w:r>
      <w:r w:rsidDel="00000000" w:rsidR="00000000" w:rsidRPr="00000000">
        <w:rPr>
          <w:rtl w:val="0"/>
        </w:rPr>
      </w:r>
    </w:p>
    <w:p w:rsidR="00000000" w:rsidDel="00000000" w:rsidP="00000000" w:rsidRDefault="00000000" w:rsidRPr="00000000" w14:paraId="00000011">
      <w:pPr>
        <w:spacing w:after="240" w:before="240" w:lineRule="auto"/>
        <w:jc w:val="both"/>
        <w:rPr>
          <w:i w:val="1"/>
          <w:iCs w:val="1"/>
          <w:sz w:val="16"/>
          <w:szCs w:val="16"/>
        </w:rPr>
      </w:pPr>
      <w:r w:rsidDel="00000000" w:rsidR="00000000" w:rsidRPr="00000000">
        <w:rPr>
          <w:b w:val="1"/>
          <w:bCs w:val="1"/>
          <w:i w:val="1"/>
          <w:iCs w:val="1"/>
          <w:sz w:val="16"/>
          <w:szCs w:val="16"/>
          <w:rtl w:val="0"/>
        </w:rPr>
        <w:t xml:space="preserve">Acerca de Epson</w:t>
      </w:r>
      <w:r w:rsidDel="00000000" w:rsidR="00000000" w:rsidRPr="00000000">
        <w:rPr>
          <w:rtl w:val="0"/>
        </w:rPr>
      </w:r>
    </w:p>
    <w:p w:rsidR="00000000" w:rsidDel="00000000" w:rsidP="00000000" w:rsidRDefault="00000000" w:rsidRPr="00000000" w14:paraId="00000012">
      <w:pPr>
        <w:spacing w:after="160" w:before="72" w:line="276" w:lineRule="auto"/>
        <w:ind w:right="167"/>
        <w:jc w:val="both"/>
        <w:rPr>
          <w:i w:val="1"/>
          <w:iCs w:val="1"/>
          <w:sz w:val="12"/>
          <w:szCs w:val="12"/>
        </w:rPr>
      </w:pPr>
      <w:r w:rsidDel="00000000" w:rsidR="00000000" w:rsidRPr="00000000">
        <w:rPr>
          <w:i w:val="1"/>
          <w:iCs w:val="1"/>
          <w:sz w:val="16"/>
          <w:szCs w:val="16"/>
          <w:rtl w:val="0"/>
        </w:rPr>
        <w:t xml:space="preserve">Epson es una empresa dedicada a la ingeniería e innovación tecnológica, cuya filosofía de innovación eficiente, compacta y precisa enriquece la vida de las personas y contribuye a crear un mundo mejor. La empresa utiliza su tecnología y su capacidad de ingeniería para implementar soluciones concretas en áreas como la innovación de precisión, la industria y la robótica, la impresión para el hogar y la oficina, y las soluciones visuales y de estilo de vida. Bajo el liderazgo de Seiko Epson Corporation, con sede en Japón, el Grupo Epson a nivel mundial genera ventas anuales superiores a 1,3 billones de yenes. corporate.epson/en/  </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pPr>
    <w:r w:rsidDel="00000000" w:rsidR="00000000" w:rsidRPr="00000000">
      <w:rPr/>
      <w:drawing>
        <wp:inline distB="19050" distT="19050" distL="19050" distR="19050">
          <wp:extent cx="1563052" cy="54818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3052" cy="5481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formesdeexpertos.com/informes/mercado-de-restaurantes-de-servicio-rapido-en-colombia" TargetMode="External"/><Relationship Id="rId7" Type="http://schemas.openxmlformats.org/officeDocument/2006/relationships/hyperlink" Target="https://www.dane.gov.co/files/operaciones/IPC/ene2026/cp-IPC-ene2026.pdf"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